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4C" w:rsidRDefault="0057484C" w:rsidP="005748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bdr w:val="none" w:sz="0" w:space="0" w:color="auto" w:frame="1"/>
          <w:lang w:eastAsia="ru-RU"/>
        </w:rPr>
      </w:pPr>
      <w:r w:rsidRPr="0057484C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bdr w:val="none" w:sz="0" w:space="0" w:color="auto" w:frame="1"/>
          <w:lang w:eastAsia="ru-RU"/>
        </w:rPr>
        <w:t xml:space="preserve"> Консультация для родителей </w:t>
      </w:r>
    </w:p>
    <w:p w:rsidR="0057484C" w:rsidRPr="0057484C" w:rsidRDefault="0057484C" w:rsidP="005748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bdr w:val="none" w:sz="0" w:space="0" w:color="auto" w:frame="1"/>
          <w:lang w:eastAsia="ru-RU"/>
        </w:rPr>
      </w:pPr>
      <w:bookmarkStart w:id="0" w:name="_GoBack"/>
      <w:bookmarkEnd w:id="0"/>
      <w:r w:rsidRPr="0057484C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bdr w:val="none" w:sz="0" w:space="0" w:color="auto" w:frame="1"/>
          <w:lang w:eastAsia="ru-RU"/>
        </w:rPr>
        <w:t>"9 идей для пальчиковой гимнастики".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57484C">
        <w:rPr>
          <w:rFonts w:ascii="Times New Roman" w:eastAsia="Times New Roman" w:hAnsi="Times New Roman" w:cs="Times New Roman"/>
          <w:noProof/>
          <w:color w:val="666666"/>
          <w:sz w:val="40"/>
          <w:szCs w:val="40"/>
          <w:lang w:eastAsia="ru-RU"/>
        </w:rPr>
        <w:drawing>
          <wp:inline distT="0" distB="0" distL="0" distR="0" wp14:anchorId="5D0E377B" wp14:editId="3FA09097">
            <wp:extent cx="1287780" cy="1143000"/>
            <wp:effectExtent l="0" t="0" r="7620" b="0"/>
            <wp:docPr id="1" name="Рисунок 1" descr="02.03.17_1.png - 445.4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.03.17_1.png - 445.43 K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Регулярная тренировка мышц кисти и пальцев рук благотворно влияет на речевое развитие ребёнка, а также на развитие внимания, мышления и памяти. Пальчиковые упражнения развивают подвижность и гибкость кисти руки, что, в свою очередь, способствует успешному овладению навыком письма в дальнейшем.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Пальчиковые упражнения следует подбирать с учётом возраста ребёнка.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• Для детей до 2 лет подбираем несложные движения: поглаживаем, похлопываем, сгибаем и разгибаем пальчики, сжимаем игрушки-пищалки.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• Для детей в возрасте 2-3 лет подходят следующие упражнения: активные движения кистями рук (замешиваем тесто, забиваем гвозди), выполнение простых фигур с помощью пальцев одной руки ("Зайка", "Коза"), игры с двумя руками ("Замок", "Цепочка").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• Детям с 3-4 лет можно предложить игры, в которых каждая рука совершает своё движение. Например, согнуть и разогнуть пальцы правой, а затем левой руки; составить фигуры вначале из пальцев одной руки, а затем другой.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• Для детей 4-5 лет подбираем игры на выполнение различных фигур и движений правой и левой рукой, сжимание и разжимание пальцев обеих рук вместе и по очереди; выполнение фигуры из обеих рук.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• С 5-7 летнего возраста детям можно предлагать "рассказывать" руками стишки или </w:t>
      </w:r>
      <w:proofErr w:type="spellStart"/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со сменой фигур (по тексту), делать из пальцев фигурки с использованием вспомогательных предметов (шарик, карандаш, лоскут ткани).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Занятия на развитие движений пальцев и кисти рук желательно проводить каждый день по 3-5 минут.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Чтобы малышу было интересно выполнять такие упражнения, можно использовать разнообразные материалы.</w:t>
      </w:r>
    </w:p>
    <w:p w:rsidR="0057484C" w:rsidRPr="0057484C" w:rsidRDefault="0057484C" w:rsidP="005748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1. Счётные палочки.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Выкладывая геометрические фигуры, можно познакомить ребёнка с их названиями. Составляя узоры, можно пересчитывать палочки, тем самым готовить ребёнка к усвоению счёта.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2. Семена растений.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Можно выкладывать горохом или фасолью контур нарисованной фигуры. Можно перемешать белую и красную фасоль и предложить ребёнку рассортировать её по цвету.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3. Пуговицы.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С помощью пуговиц можно выкладывать дорожки и узоры, можно нанизывать пуговицы ни нитку или проволоку. Из проволоки можно сделать кустик и вешать на него листики (зелёные пуговицы) или плоды (красные и жёлтые пуговицы).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4. Прищепки.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Прищепки можно цеплять на что угодно. Важно показать малышу, как правильно брать прищепки, как можно их открыть, как прикрепить. Можно цеплять прищепки к картонным фигурам: лучи к солнцу (</w:t>
      </w:r>
      <w:proofErr w:type="spellStart"/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ж</w:t>
      </w:r>
      <w:r w:rsidRPr="0057484C">
        <w:rPr>
          <w:rFonts w:ascii="Calibri" w:eastAsia="Times New Roman" w:hAnsi="Calibri" w:cs="Calibri"/>
          <w:color w:val="000080"/>
          <w:sz w:val="24"/>
          <w:szCs w:val="24"/>
          <w:bdr w:val="none" w:sz="0" w:space="0" w:color="auto" w:frame="1"/>
          <w:lang w:eastAsia="ru-RU"/>
        </w:rPr>
        <w:t>ѐ</w:t>
      </w:r>
      <w:r w:rsidRPr="0057484C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лтый</w:t>
      </w:r>
      <w:proofErr w:type="spellEnd"/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484C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круг</w:t>
      </w: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), </w:t>
      </w:r>
      <w:r w:rsidRPr="0057484C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дождик</w:t>
      </w: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484C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к</w:t>
      </w: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484C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туче</w:t>
      </w: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7484C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травку</w:t>
      </w: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484C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к</w:t>
      </w: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484C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лужайке</w:t>
      </w: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57484C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коричневый</w:t>
      </w: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484C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прямоугольник</w:t>
      </w: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57484C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и</w:t>
      </w: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484C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т</w:t>
      </w: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.</w:t>
      </w:r>
      <w:r w:rsidRPr="0057484C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д</w:t>
      </w: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5. Трафареты.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t>Поскольку малышам легче обводить внутри, чем снаружи, начинать лучше с трафаретов для внутренней обводки и с самых лёгких фигур (круг, квадрат). Желательно, чтобы трафареты были не плоскими (можно сделать из линолеума).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6. Крышки.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Дайте ребёнку разные по форме и величине баночки или бутылочки и отдельно крышечки от них. Предложите ему подобрать крышечки к подходящим баночкам и закрутить их.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7.Массажный шарик су-</w:t>
      </w:r>
      <w:proofErr w:type="spellStart"/>
      <w:proofErr w:type="gramStart"/>
      <w:r w:rsidRPr="0057484C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джок</w:t>
      </w:r>
      <w:proofErr w:type="spellEnd"/>
      <w:r w:rsidRPr="0057484C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8. Фольга.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Заверните в фольгу мелкие предметы, пусть малыш их разворачивает, а потом заворачивает сам.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9. Игры с пластиковой бутылкой.</w:t>
      </w:r>
    </w:p>
    <w:p w:rsidR="0057484C" w:rsidRPr="0057484C" w:rsidRDefault="0057484C" w:rsidP="005748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57484C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Попросите малыша сложить мелкие предметы по одному в пластиковую бутылку через горлышко. Если вы отдыхаете на море, можно собирать мелкие камушки или ракушки. Это игра также учит малыша определять на глаз размер предметов.</w:t>
      </w:r>
    </w:p>
    <w:p w:rsidR="006C789D" w:rsidRDefault="006C789D"/>
    <w:sectPr w:rsidR="006C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BF"/>
    <w:rsid w:val="0057484C"/>
    <w:rsid w:val="006C789D"/>
    <w:rsid w:val="00F2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A6E8-D657-42B9-B273-69CEBC6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2811</Characters>
  <Application>Microsoft Office Word</Application>
  <DocSecurity>0</DocSecurity>
  <Lines>23</Lines>
  <Paragraphs>6</Paragraphs>
  <ScaleCrop>false</ScaleCrop>
  <Company>HP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2023-04-18T03:35:00Z</dcterms:created>
  <dcterms:modified xsi:type="dcterms:W3CDTF">2023-04-18T03:37:00Z</dcterms:modified>
</cp:coreProperties>
</file>